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5" w:rsidRPr="006E6FD1" w:rsidRDefault="006E6FD1" w:rsidP="006E6F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E6FD1">
        <w:rPr>
          <w:rFonts w:ascii="Times New Roman" w:hAnsi="Times New Roman" w:cs="Times New Roman"/>
          <w:b/>
          <w:sz w:val="36"/>
          <w:szCs w:val="36"/>
        </w:rPr>
        <w:t>Станция «Миасс культурный»</w:t>
      </w:r>
    </w:p>
    <w:p w:rsidR="006E6FD1" w:rsidRDefault="006E6FD1" w:rsidP="006E6F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Распределите перечисленные ниже объекты культуры по районам нашего города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464"/>
        <w:gridCol w:w="3031"/>
        <w:gridCol w:w="2835"/>
        <w:gridCol w:w="2835"/>
        <w:gridCol w:w="2268"/>
        <w:gridCol w:w="2268"/>
      </w:tblGrid>
      <w:tr w:rsidR="006E6FD1" w:rsidTr="00B3008D">
        <w:tc>
          <w:tcPr>
            <w:tcW w:w="2464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Старый город</w:t>
            </w:r>
          </w:p>
        </w:tc>
        <w:tc>
          <w:tcPr>
            <w:tcW w:w="3031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Автозавод</w:t>
            </w:r>
          </w:p>
        </w:tc>
        <w:tc>
          <w:tcPr>
            <w:tcW w:w="2835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Машгородок</w:t>
            </w:r>
            <w:proofErr w:type="spellEnd"/>
          </w:p>
        </w:tc>
        <w:tc>
          <w:tcPr>
            <w:tcW w:w="2835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Пос. Строителей</w:t>
            </w:r>
          </w:p>
        </w:tc>
        <w:tc>
          <w:tcPr>
            <w:tcW w:w="2268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Пос. Динамо</w:t>
            </w:r>
          </w:p>
        </w:tc>
        <w:tc>
          <w:tcPr>
            <w:tcW w:w="2268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Пос. Дачный</w:t>
            </w:r>
          </w:p>
        </w:tc>
      </w:tr>
      <w:tr w:rsidR="006E6FD1" w:rsidTr="00B3008D">
        <w:tc>
          <w:tcPr>
            <w:tcW w:w="2464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31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6E6FD1" w:rsidRDefault="006E6FD1" w:rsidP="006E6F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B1786" w:rsidRDefault="00EB1786" w:rsidP="006E6F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B1786" w:rsidRDefault="00EB1786" w:rsidP="006E6F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6FD1" w:rsidRDefault="006E6FD1" w:rsidP="006E6F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r w:rsidRPr="00222F7E">
        <w:rPr>
          <w:rFonts w:ascii="Times New Roman" w:hAnsi="Times New Roman" w:cs="Times New Roman"/>
          <w:sz w:val="32"/>
          <w:szCs w:val="32"/>
        </w:rPr>
        <w:t>раеведческий музей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Музей Ильменского заповедника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Дворец культуры «Прометей»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Дом детского творчества «</w:t>
      </w:r>
      <w:r>
        <w:rPr>
          <w:rFonts w:ascii="Times New Roman" w:hAnsi="Times New Roman" w:cs="Times New Roman"/>
          <w:sz w:val="32"/>
          <w:szCs w:val="32"/>
        </w:rPr>
        <w:t>Остров</w:t>
      </w:r>
      <w:r w:rsidRPr="00222F7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Дворец культуры автомобилестроителей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Дворец культуры «Динамо»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Центр досуга «Строитель»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Городской дом культуры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Дом культуры «Бригантина»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Дом культуры «Горняк»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Городской парк</w:t>
      </w:r>
      <w:r>
        <w:rPr>
          <w:rFonts w:ascii="Times New Roman" w:hAnsi="Times New Roman" w:cs="Times New Roman"/>
          <w:sz w:val="32"/>
          <w:szCs w:val="32"/>
        </w:rPr>
        <w:t xml:space="preserve">, Парк гигантских фигур, </w:t>
      </w:r>
      <w:r w:rsidRPr="00222F7E">
        <w:rPr>
          <w:rFonts w:ascii="Times New Roman" w:hAnsi="Times New Roman" w:cs="Times New Roman"/>
          <w:sz w:val="32"/>
          <w:szCs w:val="32"/>
        </w:rPr>
        <w:t>Кинотеатр «Гавайи»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22F7E">
        <w:rPr>
          <w:rFonts w:ascii="Times New Roman" w:hAnsi="Times New Roman" w:cs="Times New Roman"/>
          <w:sz w:val="32"/>
          <w:szCs w:val="32"/>
        </w:rPr>
        <w:t>Кинотеатр «Прометей»</w:t>
      </w:r>
      <w:r>
        <w:rPr>
          <w:rFonts w:ascii="Times New Roman" w:hAnsi="Times New Roman" w:cs="Times New Roman"/>
          <w:sz w:val="32"/>
          <w:szCs w:val="32"/>
        </w:rPr>
        <w:t>, ЦГБ им. Ю.Н. Либединского, Центральная детская библиотека.</w:t>
      </w:r>
      <w:proofErr w:type="gramEnd"/>
    </w:p>
    <w:p w:rsidR="006E6FD1" w:rsidRPr="006E6FD1" w:rsidRDefault="006E6FD1" w:rsidP="006E6F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E6FD1" w:rsidRPr="006E6FD1" w:rsidSect="00EB1786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79"/>
    <w:rsid w:val="00457E55"/>
    <w:rsid w:val="006E6FD1"/>
    <w:rsid w:val="00B3008D"/>
    <w:rsid w:val="00C31679"/>
    <w:rsid w:val="00D20A1A"/>
    <w:rsid w:val="00E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kkjkjll'</dc:creator>
  <cp:keywords/>
  <dc:description/>
  <cp:lastModifiedBy>Отдел обслуживания 1</cp:lastModifiedBy>
  <cp:revision>5</cp:revision>
  <dcterms:created xsi:type="dcterms:W3CDTF">2018-11-11T16:21:00Z</dcterms:created>
  <dcterms:modified xsi:type="dcterms:W3CDTF">2018-11-12T11:50:00Z</dcterms:modified>
</cp:coreProperties>
</file>